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|45296559      |70130365         |       3437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по состоянию на 01.07.2017 г.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Полное или сокращенное фирменное наименование кредитной организации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Банк НФК (АО)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Адрес (место нахождения) кредитной организации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115114, г. Москва, ул. Кожевническая, д.14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строки    |                                                                                   | отчетную дату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1      |                                         2                                         |        3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2667967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lastRenderedPageBreak/>
        <w:t>| 100         |Источники базового капитала:                                                       |        2663821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100.2       |Эмиссионный доход: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ответственностью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предшествующих лет                                                                |          91967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текущего года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всего, в том числе:                                                               |         571854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         |Показатели, уменьшающие сумму источников базового капитала:                        |          14004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       |Нематериальные активы, всего, в том числе:                                         |          11203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101.4.1     |прямые вложения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|организаций 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101.11      |Отрицательная величина добавочного капитала                                        |           2801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|состав базового капитала, в случае, если основное или дочернее общество кредитной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102         |Базовый капитал, итого                                                             |        2649817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103.2       |Эмиссионный доход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         |Показатели, уменьшающие сумму источников добавочного капитала:                     |           2801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104.1.1     |прямые вложения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|добавочного капитала, в случае, если основное или дочернее общество кредитной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2801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104.7.1     |нематериальные активы                                                              |           2801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106         |Основной капитал, итого                                                            |        2649817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         |Источники дополнительного капитала:                                                |          18150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|основных средств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|прибыли текущего года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18150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200.6.1     |величина резерва (резервов), фактически недосозданного кредитной организацией по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|потерь      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201.1.1     |прямые вложения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|предоставленного другими лицами, в случае, если кредитная организация прямо или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|(капитала)  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|дополнительного капитала, в случае, если основное или дочернее общество кредитной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201.6       |Промежуточный итог                                                                 |        2667967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|Банка России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201.7.5.1   |справочно: совокупная сумма вложений в активы,  указанные в подпункте 5.2 пункта 5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|приложения к Положению Банка России № 395-П                                        |          19123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|актами Банка России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 том числе: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|изданий)             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202.3.4     |справочно: совокупная сумма вложений в активы,  указанные в подпункте 4.2.2     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|пункта 4 Положения Банка России № 395-П                                            |          19123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| 203         |Дополнительный капитал, итого                                                      |          18150 |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Справочно.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отчужденных по сделкам РЕПО                0 тыс.руб.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приобретенных по сделкам РЕПО              0 тыс.руб.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отраженный по строке 100.5, и (или) 101.9, и (или) 200.5 в составе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 xml:space="preserve">    финансового результата текущего года, включает: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3.1. реализованный              0 тыс. руб.;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3.2. нереализованный              0 тыс. руб.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Врио Председателя Правления                                  Милаков И.В.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r w:rsidRPr="00CD0E49">
        <w:rPr>
          <w:rFonts w:ascii="Courier New" w:hAnsi="Courier New" w:cs="Courier New"/>
          <w:sz w:val="15"/>
          <w:szCs w:val="15"/>
        </w:rPr>
        <w:t>Начальник Управления налогообложения и отчетност             Дигилина Е.Д.</w:t>
      </w:r>
    </w:p>
    <w:p w:rsidR="00824E08" w:rsidRPr="00CD0E49" w:rsidRDefault="00824E08" w:rsidP="00824E08">
      <w:pPr>
        <w:pStyle w:val="a3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sectPr w:rsidR="00824E08" w:rsidRPr="00CD0E49" w:rsidSect="00CD0E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F6"/>
    <w:rsid w:val="007501F6"/>
    <w:rsid w:val="00824E08"/>
    <w:rsid w:val="00C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7A2E7-98CD-4AEC-BCBB-39EF6CB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E04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E043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9372</Words>
  <Characters>53423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2017-07-06T13:20:00Z</dcterms:created>
  <dcterms:modified xsi:type="dcterms:W3CDTF">2017-07-06T13:20:00Z</dcterms:modified>
</cp:coreProperties>
</file>