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01.12.2017 г.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Банк НФК (АО)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2819311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         |Источники базового капитала:                                                       |        2663821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100.1       |Уставный капитал кредитной организации:                                            |        2000000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100.2       |Эмиссионный доход: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100.2.1     |кредитной организации в организационно-правовой форме акционерного общества, всего,|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91967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100.5       |Прибыль текущего года в части, подтвержденной аудиторской организацией, всего,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100.5.1     |величина резерва (резервов), фактически недосозданного кредитной организацией по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100.5.1.1   |с Положением Банка России № 254-П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100.6       |Прибыль предшествующих лет, данные о которой подтверждены аудиторской организацией,|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571854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100.6.1     |величина резерва (резервов), фактически недосозданного кредитной организацией по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100.6.1.1   |с Положением Банка России № 254-П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         |Показатели, уменьшающие сумму источников базового капитала:                        |          13250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       |Нематериальные активы, всего, в том числе:                                         |          10600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 собственных средств (капитала), всего, в том числе: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(за исключением встречных вложений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|кредитной организации и финансовой организации)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(капитала)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|участников, всего, в том числе: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101.8.1     |величина резерва (резервов), фактически недосозданного кредитной организацией по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101.8.1.1   |с Положением Банка России № 254-П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101.9.1     |величина резерва (резервов), фактически недосозданного кредитной организацией по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101.9.1.1   |с Положением Банка России № 254-П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|(в том числе финансовых организаций - нерезидентов), всего, в том числе: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(доли)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|будущей прибыли кредитной организации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2650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|предоставлению прямо или косвенно денежных средств (или иного обеспечения рисков)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|состав базового капитала, в случае, если основное или дочернее общество кредитной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2650571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|(субординированный облигационный заем, срок погашения которого не установлен),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   2650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(капитала)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|финансовым организациям - резидентам и финансовым организациям - нерезидентам,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займы),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займы),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|добавочного капитала, в случае, если основное или дочернее общество кредитной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2650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2650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(выкупленные)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|кредитной организацией у акционеров (участников)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|(акционерами, участниками и другими лицами, участвующими в формировании источников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2650571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 168740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168740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200.5.1     |величина резерва (резервов), фактически недосозданного кредитной организацией по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200.5.1.1   |с Положением Банка России № 254-П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200.6.1     |величина резерва (резервов), фактически недосозданного кредитной организацией по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200.6.1.1   |с Положением Банка России № 254-П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|стоимости, всего, в том числе: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|не менее 50 лет, кредитором по которому является резидент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200.7.2     |субординированный кредит (депозит, заем), привлеченный до 1 марта 2013 года,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(имущества),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|предоставленных (предоставленного) самой кредитной организацией, и (или) имущества,|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случае, если кредитная организация прямо или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(капитала)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|организациям - резидентам и финансовым организациям - нерезидентам,    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займы),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займы),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|(капитала)       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|дополнительного капитала, в случае, если основное или дочернее общество кредитной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2819311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|неиспользуемой в основной деятельности, долгосрочные активы, предназначенные для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|продажи, а также запасы (за исключением изданий)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201.7.5.1   |справочно: совокупная сумма вложений в активы,  указанные в подпункте 5.2 пункта 5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22145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202.3       |Вложения, превышающие сумму источников основного и дополнительного капитала, всего,|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 том числе:     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|(строительство) и создание (изготовление) основных средств, в недвижимость,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(строительство)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|объектов недвижимости, временно неиспользуемой в основной деятельности,    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|изданий)             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202.3.4     |справочно: совокупная сумма вложений в активы,  указанные в подпункте 4.2.2     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22145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168740 |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Справочно.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101.9, и (или) 200.5 в составе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3.2. нереализованный              0 тыс. руб.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Врио Председателя Правления                                  Милаков И.В.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r w:rsidRPr="00E158D0">
        <w:rPr>
          <w:rFonts w:ascii="Courier New" w:hAnsi="Courier New" w:cs="Courier New"/>
          <w:sz w:val="14"/>
          <w:szCs w:val="14"/>
        </w:rPr>
        <w:t>Главный бухгалтер                                            Брындин А.Г.</w:t>
      </w: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p w:rsidR="0071427D" w:rsidRPr="00E158D0" w:rsidRDefault="0071427D" w:rsidP="0071427D">
      <w:pPr>
        <w:pStyle w:val="a3"/>
        <w:rPr>
          <w:rFonts w:ascii="Courier New" w:hAnsi="Courier New" w:cs="Courier New"/>
          <w:sz w:val="14"/>
          <w:szCs w:val="14"/>
        </w:rPr>
      </w:pPr>
    </w:p>
    <w:sectPr w:rsidR="0071427D" w:rsidRPr="00E158D0" w:rsidSect="00E158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A9"/>
    <w:rsid w:val="002B6AA9"/>
    <w:rsid w:val="0071427D"/>
    <w:rsid w:val="00E158D0"/>
    <w:rsid w:val="00E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B66F17-77FD-4E67-A414-C6EF3A5F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59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59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9291</Words>
  <Characters>52960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dcterms:created xsi:type="dcterms:W3CDTF">2017-12-06T11:45:00Z</dcterms:created>
  <dcterms:modified xsi:type="dcterms:W3CDTF">2018-01-22T12:18:00Z</dcterms:modified>
</cp:coreProperties>
</file>